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3E" w:rsidRDefault="007E09AD" w:rsidP="0025343E">
      <w:pPr>
        <w:spacing w:line="240" w:lineRule="exact"/>
        <w:ind w:left="4820"/>
        <w:rPr>
          <w:szCs w:val="28"/>
        </w:rPr>
      </w:pPr>
      <w:r w:rsidRPr="007E09AD">
        <w:pict>
          <v:shapetype id="_x0000_t202" coordsize="21600,21600" o:spt="202" path="m,l,21600r21600,l21600,xe">
            <v:stroke joinstyle="miter"/>
            <v:path gradientshapeok="t" o:connecttype="rect"/>
          </v:shapetype>
          <v:shape id="Поле 2" o:spid="_x0000_s1030" type="#_x0000_t202" style="position:absolute;left:0;text-align:left;margin-left:3.1pt;margin-top:6.65pt;width:180pt;height:221.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" filled="f" stroked="f">
            <v:textbox style="mso-next-textbox:#Поле 2">
              <w:txbxContent>
                <w:p w:rsidR="0025343E" w:rsidRDefault="0025343E" w:rsidP="0025343E">
                  <w:pPr>
                    <w:tabs>
                      <w:tab w:val="left" w:pos="912"/>
                    </w:tabs>
                    <w:jc w:val="center"/>
                    <w:rPr>
                      <w:color w:val="0000FF"/>
                      <w:sz w:val="22"/>
                    </w:rPr>
                  </w:pPr>
                  <w:r>
                    <w:rPr>
                      <w:noProof/>
                      <w:sz w:val="20"/>
                      <w:szCs w:val="20"/>
                      <w:lang w:eastAsia="ru-RU"/>
                    </w:rPr>
                    <w:drawing>
                      <wp:inline distT="0" distB="0" distL="0" distR="0">
                        <wp:extent cx="714375" cy="762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bright="-10000" contrast="30000"/>
                                </a:blip>
                                <a:srcRect/>
                                <a:stretch>
                                  <a:fillRect/>
                                </a:stretch>
                              </pic:blipFill>
                              <pic:spPr bwMode="auto">
                                <a:xfrm>
                                  <a:off x="0" y="0"/>
                                  <a:ext cx="714375" cy="762000"/>
                                </a:xfrm>
                                <a:prstGeom prst="rect">
                                  <a:avLst/>
                                </a:prstGeom>
                                <a:noFill/>
                                <a:ln w="9525">
                                  <a:noFill/>
                                  <a:miter lim="800000"/>
                                  <a:headEnd/>
                                  <a:tailEnd/>
                                </a:ln>
                              </pic:spPr>
                            </pic:pic>
                          </a:graphicData>
                        </a:graphic>
                      </wp:inline>
                    </w:drawing>
                  </w:r>
                </w:p>
                <w:p w:rsidR="0025343E" w:rsidRDefault="0025343E" w:rsidP="0025343E">
                  <w:pPr>
                    <w:tabs>
                      <w:tab w:val="left" w:pos="912"/>
                    </w:tabs>
                    <w:jc w:val="center"/>
                    <w:rPr>
                      <w:b/>
                      <w:color w:val="0000FF"/>
                      <w:sz w:val="12"/>
                    </w:rPr>
                  </w:pPr>
                </w:p>
                <w:p w:rsidR="0025343E" w:rsidRDefault="0025343E" w:rsidP="0025343E">
                  <w:pPr>
                    <w:tabs>
                      <w:tab w:val="left" w:pos="912"/>
                    </w:tabs>
                    <w:jc w:val="center"/>
                    <w:rPr>
                      <w:b/>
                      <w:color w:val="0000FF"/>
                      <w:sz w:val="23"/>
                    </w:rPr>
                  </w:pPr>
                  <w:r>
                    <w:rPr>
                      <w:b/>
                      <w:color w:val="0000FF"/>
                      <w:sz w:val="23"/>
                    </w:rPr>
                    <w:t>ПРОКУРАТУРА</w:t>
                  </w:r>
                </w:p>
                <w:p w:rsidR="0025343E" w:rsidRDefault="0025343E" w:rsidP="0025343E">
                  <w:pPr>
                    <w:tabs>
                      <w:tab w:val="left" w:pos="912"/>
                    </w:tabs>
                    <w:jc w:val="center"/>
                    <w:rPr>
                      <w:b/>
                      <w:color w:val="0000FF"/>
                      <w:sz w:val="23"/>
                    </w:rPr>
                  </w:pPr>
                  <w:r>
                    <w:rPr>
                      <w:b/>
                      <w:color w:val="0000FF"/>
                      <w:sz w:val="23"/>
                    </w:rPr>
                    <w:t>РОССИЙСКОЙ ФЕДЕРАЦИИ</w:t>
                  </w:r>
                </w:p>
                <w:p w:rsidR="0025343E" w:rsidRDefault="0025343E" w:rsidP="0025343E">
                  <w:pPr>
                    <w:tabs>
                      <w:tab w:val="left" w:pos="912"/>
                    </w:tabs>
                    <w:jc w:val="center"/>
                    <w:rPr>
                      <w:b/>
                      <w:color w:val="0000FF"/>
                      <w:sz w:val="23"/>
                    </w:rPr>
                  </w:pPr>
                  <w:r>
                    <w:rPr>
                      <w:b/>
                      <w:color w:val="0000FF"/>
                      <w:sz w:val="23"/>
                    </w:rPr>
                    <w:t>ПРОКУРАТУРА</w:t>
                  </w:r>
                </w:p>
                <w:p w:rsidR="0025343E" w:rsidRDefault="0025343E" w:rsidP="0025343E">
                  <w:pPr>
                    <w:tabs>
                      <w:tab w:val="left" w:pos="912"/>
                    </w:tabs>
                    <w:jc w:val="center"/>
                    <w:rPr>
                      <w:b/>
                      <w:color w:val="0000FF"/>
                      <w:sz w:val="23"/>
                    </w:rPr>
                  </w:pPr>
                  <w:r>
                    <w:rPr>
                      <w:b/>
                      <w:color w:val="0000FF"/>
                      <w:sz w:val="23"/>
                    </w:rPr>
                    <w:t>РЕСПУБЛИКИ ДАГЕСТАН</w:t>
                  </w:r>
                </w:p>
                <w:p w:rsidR="0025343E" w:rsidRDefault="0025343E" w:rsidP="0025343E">
                  <w:pPr>
                    <w:tabs>
                      <w:tab w:val="left" w:pos="912"/>
                    </w:tabs>
                    <w:jc w:val="center"/>
                    <w:rPr>
                      <w:b/>
                      <w:color w:val="0000FF"/>
                      <w:sz w:val="23"/>
                    </w:rPr>
                  </w:pPr>
                  <w:r>
                    <w:rPr>
                      <w:b/>
                      <w:color w:val="0000FF"/>
                      <w:sz w:val="23"/>
                    </w:rPr>
                    <w:t>ПРОКУРАТУРА</w:t>
                  </w:r>
                </w:p>
                <w:p w:rsidR="0025343E" w:rsidRDefault="0025343E" w:rsidP="0025343E">
                  <w:pPr>
                    <w:tabs>
                      <w:tab w:val="left" w:pos="912"/>
                    </w:tabs>
                    <w:jc w:val="center"/>
                    <w:rPr>
                      <w:b/>
                      <w:color w:val="0000FF"/>
                      <w:sz w:val="23"/>
                    </w:rPr>
                  </w:pPr>
                  <w:r>
                    <w:rPr>
                      <w:b/>
                      <w:color w:val="0000FF"/>
                      <w:sz w:val="23"/>
                    </w:rPr>
                    <w:t>ТЛЯРАТИНСКОГО РАЙОНА</w:t>
                  </w:r>
                </w:p>
                <w:p w:rsidR="0025343E" w:rsidRDefault="0025343E" w:rsidP="0025343E">
                  <w:pPr>
                    <w:tabs>
                      <w:tab w:val="left" w:pos="912"/>
                    </w:tabs>
                    <w:jc w:val="center"/>
                    <w:rPr>
                      <w:b/>
                      <w:color w:val="0000FF"/>
                      <w:sz w:val="16"/>
                    </w:rPr>
                  </w:pPr>
                </w:p>
                <w:tbl>
                  <w:tblPr>
                    <w:tblW w:w="0" w:type="auto"/>
                    <w:tblInd w:w="57" w:type="dxa"/>
                    <w:tblLayout w:type="fixed"/>
                    <w:tblCellMar>
                      <w:left w:w="57" w:type="dxa"/>
                      <w:right w:w="57" w:type="dxa"/>
                    </w:tblCellMar>
                    <w:tblLook w:val="04A0"/>
                  </w:tblPr>
                  <w:tblGrid>
                    <w:gridCol w:w="1440"/>
                    <w:gridCol w:w="360"/>
                    <w:gridCol w:w="1470"/>
                  </w:tblGrid>
                  <w:tr w:rsidR="0025343E">
                    <w:trPr>
                      <w:trHeight w:val="80"/>
                    </w:trPr>
                    <w:tc>
                      <w:tcPr>
                        <w:tcW w:w="3270" w:type="dxa"/>
                        <w:gridSpan w:val="3"/>
                      </w:tcPr>
                      <w:p w:rsidR="0025343E" w:rsidRDefault="0025343E">
                        <w:pPr>
                          <w:tabs>
                            <w:tab w:val="left" w:pos="912"/>
                          </w:tabs>
                          <w:jc w:val="center"/>
                          <w:rPr>
                            <w:color w:val="0000FF"/>
                            <w:sz w:val="16"/>
                            <w:szCs w:val="16"/>
                          </w:rPr>
                        </w:pPr>
                        <w:r>
                          <w:rPr>
                            <w:color w:val="0000FF"/>
                            <w:sz w:val="16"/>
                            <w:szCs w:val="16"/>
                          </w:rPr>
                          <w:t xml:space="preserve">368420, </w:t>
                        </w:r>
                        <w:proofErr w:type="spellStart"/>
                        <w:r>
                          <w:rPr>
                            <w:color w:val="0000FF"/>
                            <w:sz w:val="16"/>
                            <w:szCs w:val="16"/>
                          </w:rPr>
                          <w:t>Тляратинский</w:t>
                        </w:r>
                        <w:proofErr w:type="spellEnd"/>
                        <w:r>
                          <w:rPr>
                            <w:color w:val="0000FF"/>
                            <w:sz w:val="16"/>
                            <w:szCs w:val="16"/>
                          </w:rPr>
                          <w:t xml:space="preserve"> район, </w:t>
                        </w:r>
                        <w:proofErr w:type="gramStart"/>
                        <w:r>
                          <w:rPr>
                            <w:color w:val="0000FF"/>
                            <w:sz w:val="16"/>
                            <w:szCs w:val="16"/>
                          </w:rPr>
                          <w:t>с</w:t>
                        </w:r>
                        <w:proofErr w:type="gramEnd"/>
                        <w:r>
                          <w:rPr>
                            <w:color w:val="0000FF"/>
                            <w:sz w:val="16"/>
                            <w:szCs w:val="16"/>
                          </w:rPr>
                          <w:t xml:space="preserve">. Тлярата, </w:t>
                        </w:r>
                      </w:p>
                      <w:p w:rsidR="0025343E" w:rsidRDefault="0025343E">
                        <w:pPr>
                          <w:tabs>
                            <w:tab w:val="left" w:pos="912"/>
                          </w:tabs>
                          <w:jc w:val="center"/>
                          <w:rPr>
                            <w:color w:val="0000FF"/>
                            <w:sz w:val="16"/>
                            <w:szCs w:val="16"/>
                          </w:rPr>
                        </w:pPr>
                        <w:r>
                          <w:rPr>
                            <w:color w:val="0000FF"/>
                            <w:sz w:val="16"/>
                            <w:szCs w:val="16"/>
                          </w:rPr>
                          <w:t>тел:  55-29-30, факс: 55-29-27</w:t>
                        </w:r>
                      </w:p>
                      <w:p w:rsidR="0025343E" w:rsidRDefault="0025343E">
                        <w:pPr>
                          <w:tabs>
                            <w:tab w:val="left" w:pos="912"/>
                          </w:tabs>
                          <w:jc w:val="center"/>
                          <w:rPr>
                            <w:color w:val="0000FF"/>
                            <w:sz w:val="16"/>
                          </w:rPr>
                        </w:pPr>
                      </w:p>
                    </w:tc>
                  </w:tr>
                  <w:tr w:rsidR="0025343E">
                    <w:trPr>
                      <w:trHeight w:val="260"/>
                    </w:trPr>
                    <w:tc>
                      <w:tcPr>
                        <w:tcW w:w="1440" w:type="dxa"/>
                        <w:tcBorders>
                          <w:top w:val="nil"/>
                          <w:left w:val="nil"/>
                          <w:bottom w:val="single" w:sz="4" w:space="0" w:color="auto"/>
                          <w:right w:val="nil"/>
                        </w:tcBorders>
                        <w:hideMark/>
                      </w:tcPr>
                      <w:p w:rsidR="0025343E" w:rsidRDefault="0025343E" w:rsidP="0025343E">
                        <w:pPr>
                          <w:tabs>
                            <w:tab w:val="left" w:pos="912"/>
                          </w:tabs>
                          <w:jc w:val="center"/>
                          <w:rPr>
                            <w:color w:val="0000FF"/>
                          </w:rPr>
                        </w:pPr>
                        <w:r>
                          <w:rPr>
                            <w:color w:val="0000FF"/>
                          </w:rPr>
                          <w:t xml:space="preserve">  10.10.2017          </w:t>
                        </w:r>
                      </w:p>
                    </w:tc>
                    <w:tc>
                      <w:tcPr>
                        <w:tcW w:w="360" w:type="dxa"/>
                      </w:tcPr>
                      <w:p w:rsidR="0025343E" w:rsidRDefault="0025343E">
                        <w:pPr>
                          <w:tabs>
                            <w:tab w:val="left" w:pos="912"/>
                          </w:tabs>
                          <w:jc w:val="center"/>
                          <w:rPr>
                            <w:b/>
                            <w:color w:val="0000FF"/>
                          </w:rPr>
                        </w:pPr>
                      </w:p>
                      <w:p w:rsidR="0025343E" w:rsidRDefault="0025343E">
                        <w:pPr>
                          <w:tabs>
                            <w:tab w:val="left" w:pos="912"/>
                          </w:tabs>
                          <w:jc w:val="center"/>
                          <w:rPr>
                            <w:b/>
                            <w:color w:val="0000FF"/>
                          </w:rPr>
                        </w:pPr>
                        <w:r>
                          <w:rPr>
                            <w:b/>
                            <w:color w:val="0000FF"/>
                          </w:rPr>
                          <w:t>№</w:t>
                        </w:r>
                      </w:p>
                    </w:tc>
                    <w:tc>
                      <w:tcPr>
                        <w:tcW w:w="1470" w:type="dxa"/>
                        <w:tcBorders>
                          <w:top w:val="nil"/>
                          <w:left w:val="nil"/>
                          <w:bottom w:val="single" w:sz="4" w:space="0" w:color="auto"/>
                          <w:right w:val="nil"/>
                        </w:tcBorders>
                      </w:tcPr>
                      <w:p w:rsidR="0025343E" w:rsidRDefault="0025343E">
                        <w:pPr>
                          <w:tabs>
                            <w:tab w:val="left" w:pos="912"/>
                          </w:tabs>
                          <w:jc w:val="center"/>
                          <w:rPr>
                            <w:color w:val="0000FF"/>
                          </w:rPr>
                        </w:pPr>
                      </w:p>
                      <w:p w:rsidR="0025343E" w:rsidRDefault="0025343E">
                        <w:pPr>
                          <w:tabs>
                            <w:tab w:val="left" w:pos="912"/>
                          </w:tabs>
                          <w:jc w:val="center"/>
                          <w:rPr>
                            <w:color w:val="0000FF"/>
                          </w:rPr>
                        </w:pPr>
                        <w:r>
                          <w:rPr>
                            <w:color w:val="0000FF"/>
                          </w:rPr>
                          <w:t>04-04-2017</w:t>
                        </w:r>
                      </w:p>
                    </w:tc>
                  </w:tr>
                </w:tbl>
                <w:p w:rsidR="0025343E" w:rsidRDefault="0025343E" w:rsidP="0025343E">
                  <w:pPr>
                    <w:tabs>
                      <w:tab w:val="left" w:pos="912"/>
                    </w:tabs>
                  </w:pPr>
                </w:p>
              </w:txbxContent>
            </v:textbox>
          </v:shape>
        </w:pict>
      </w:r>
      <w:r w:rsidR="0025343E">
        <w:rPr>
          <w:szCs w:val="28"/>
        </w:rPr>
        <w:t xml:space="preserve">Главному редактору  </w:t>
      </w:r>
    </w:p>
    <w:p w:rsidR="0025343E" w:rsidRDefault="0025343E" w:rsidP="0025343E">
      <w:pPr>
        <w:spacing w:line="240" w:lineRule="exact"/>
        <w:ind w:left="4820"/>
        <w:rPr>
          <w:szCs w:val="28"/>
        </w:rPr>
      </w:pPr>
      <w:r>
        <w:rPr>
          <w:szCs w:val="28"/>
        </w:rPr>
        <w:t>районной газеты</w:t>
      </w:r>
    </w:p>
    <w:p w:rsidR="0025343E" w:rsidRDefault="0025343E" w:rsidP="0025343E">
      <w:pPr>
        <w:spacing w:line="240" w:lineRule="exact"/>
        <w:ind w:left="4820"/>
        <w:rPr>
          <w:szCs w:val="28"/>
        </w:rPr>
      </w:pPr>
    </w:p>
    <w:p w:rsidR="0025343E" w:rsidRDefault="0025343E" w:rsidP="0025343E">
      <w:pPr>
        <w:spacing w:line="240" w:lineRule="exact"/>
        <w:ind w:left="4820"/>
      </w:pPr>
      <w:proofErr w:type="spellStart"/>
      <w:r>
        <w:t>Раджабову</w:t>
      </w:r>
      <w:proofErr w:type="spellEnd"/>
      <w:r>
        <w:t xml:space="preserve"> Р.</w:t>
      </w: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spacing w:line="240" w:lineRule="exact"/>
        <w:ind w:left="4820"/>
      </w:pPr>
    </w:p>
    <w:p w:rsidR="0025343E" w:rsidRDefault="0025343E" w:rsidP="0025343E">
      <w:pPr>
        <w:ind w:firstLine="720"/>
        <w:jc w:val="both"/>
      </w:pPr>
    </w:p>
    <w:p w:rsidR="0025343E" w:rsidRDefault="0025343E" w:rsidP="0025343E">
      <w:pPr>
        <w:ind w:firstLine="709"/>
        <w:jc w:val="both"/>
        <w:rPr>
          <w:szCs w:val="28"/>
        </w:rPr>
      </w:pPr>
    </w:p>
    <w:p w:rsidR="00686823" w:rsidRPr="00B1074B" w:rsidRDefault="0025343E" w:rsidP="00686823">
      <w:pPr>
        <w:pStyle w:val="a3"/>
        <w:spacing w:before="0" w:beforeAutospacing="0" w:after="0" w:afterAutospacing="0"/>
        <w:ind w:firstLine="709"/>
        <w:jc w:val="both"/>
        <w:outlineLvl w:val="3"/>
        <w:rPr>
          <w:b/>
          <w:bCs/>
          <w:color w:val="000000"/>
          <w:sz w:val="28"/>
          <w:szCs w:val="28"/>
          <w:shd w:val="clear" w:color="auto" w:fill="FEFDFD"/>
        </w:rPr>
      </w:pPr>
      <w:r>
        <w:rPr>
          <w:sz w:val="28"/>
          <w:szCs w:val="28"/>
        </w:rPr>
        <w:t xml:space="preserve">Для опубликования в районной газете   в рубрике «Прокуратура разъясняет» направляется статья </w:t>
      </w:r>
      <w:r w:rsidRPr="00B1074B">
        <w:rPr>
          <w:sz w:val="28"/>
          <w:szCs w:val="28"/>
        </w:rPr>
        <w:t>«</w:t>
      </w:r>
      <w:r w:rsidRPr="0025343E">
        <w:rPr>
          <w:b/>
          <w:color w:val="000000"/>
          <w:sz w:val="28"/>
          <w:szCs w:val="28"/>
          <w:shd w:val="clear" w:color="auto" w:fill="FFFFFF"/>
        </w:rPr>
        <w:t>Ответственность за незаконную охоту</w:t>
      </w:r>
      <w:r w:rsidRPr="00B1074B">
        <w:rPr>
          <w:b/>
          <w:bCs/>
          <w:color w:val="000000"/>
          <w:sz w:val="28"/>
          <w:szCs w:val="28"/>
          <w:shd w:val="clear" w:color="auto" w:fill="FEFDFD"/>
        </w:rPr>
        <w:t>».</w:t>
      </w:r>
      <w:r>
        <w:rPr>
          <w:sz w:val="28"/>
          <w:szCs w:val="28"/>
        </w:rPr>
        <w:t xml:space="preserve">  </w:t>
      </w:r>
    </w:p>
    <w:p w:rsidR="00B1074B" w:rsidRPr="00B1074B"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 xml:space="preserve">Охота - это деятельность, связанная с поиском, выслеживанием, преследованием охотничьих ресурсов, их добычей, первичной переработкой и транспортировкой. К охоте приравнивается нахождение в </w:t>
      </w:r>
      <w:proofErr w:type="spellStart"/>
      <w:r w:rsidRPr="00B1074B">
        <w:rPr>
          <w:rFonts w:cs="Times New Roman"/>
          <w:color w:val="000000"/>
          <w:szCs w:val="28"/>
          <w:shd w:val="clear" w:color="auto" w:fill="FFFFFF"/>
        </w:rPr>
        <w:t>охотугодьях</w:t>
      </w:r>
      <w:proofErr w:type="spellEnd"/>
      <w:r w:rsidRPr="00B1074B">
        <w:rPr>
          <w:rFonts w:cs="Times New Roman"/>
          <w:color w:val="000000"/>
          <w:szCs w:val="28"/>
          <w:shd w:val="clear" w:color="auto" w:fill="FFFFFF"/>
        </w:rPr>
        <w:t xml:space="preserve"> физических лиц с орудиями охоты (в том числе огнестрельным оружием) и (или) продукцией охоты.    </w:t>
      </w:r>
    </w:p>
    <w:p w:rsidR="00B1074B" w:rsidRPr="00B1074B"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Основой осуществления охоты являются Правила охоты, утвержденные Приказом Минприроды России от 16.11.2010 № 512.</w:t>
      </w:r>
      <w:r w:rsidRPr="00B1074B">
        <w:rPr>
          <w:rFonts w:cs="Times New Roman"/>
          <w:color w:val="000000"/>
          <w:szCs w:val="28"/>
        </w:rPr>
        <w:br/>
      </w:r>
      <w:r w:rsidRPr="00B1074B">
        <w:rPr>
          <w:rFonts w:cs="Times New Roman"/>
          <w:color w:val="000000"/>
          <w:szCs w:val="28"/>
          <w:shd w:val="clear" w:color="auto" w:fill="FFFFFF"/>
        </w:rPr>
        <w:t xml:space="preserve">При осуществлении охоты гражданин должен иметь при себе: охотничий билет, разрешение на хранение и ношение охотничьего оружия, разрешение на добычу охотничьих ресурсов и быть готовым предъявить их инспектору </w:t>
      </w:r>
      <w:proofErr w:type="spellStart"/>
      <w:r w:rsidRPr="00B1074B">
        <w:rPr>
          <w:rFonts w:cs="Times New Roman"/>
          <w:color w:val="000000"/>
          <w:szCs w:val="28"/>
          <w:shd w:val="clear" w:color="auto" w:fill="FFFFFF"/>
        </w:rPr>
        <w:t>охотнадзора</w:t>
      </w:r>
      <w:proofErr w:type="spellEnd"/>
      <w:r w:rsidRPr="00B1074B">
        <w:rPr>
          <w:rFonts w:cs="Times New Roman"/>
          <w:color w:val="000000"/>
          <w:szCs w:val="28"/>
          <w:shd w:val="clear" w:color="auto" w:fill="FFFFFF"/>
        </w:rPr>
        <w:t>.     </w:t>
      </w:r>
    </w:p>
    <w:p w:rsidR="00B1074B" w:rsidRPr="00B1074B"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До места охоты необходимо передвигаться только с зачехленным и разряженным оружием.    </w:t>
      </w:r>
    </w:p>
    <w:p w:rsidR="00B1074B" w:rsidRPr="00B1074B" w:rsidRDefault="00B1074B" w:rsidP="00B1074B">
      <w:pPr>
        <w:ind w:firstLine="709"/>
        <w:jc w:val="both"/>
        <w:rPr>
          <w:rFonts w:cs="Times New Roman"/>
          <w:color w:val="000000"/>
          <w:szCs w:val="28"/>
          <w:shd w:val="clear" w:color="auto" w:fill="FFFFFF"/>
        </w:rPr>
      </w:pPr>
      <w:proofErr w:type="gramStart"/>
      <w:r w:rsidRPr="00B1074B">
        <w:rPr>
          <w:rFonts w:cs="Times New Roman"/>
          <w:color w:val="000000"/>
          <w:szCs w:val="28"/>
          <w:shd w:val="clear" w:color="auto" w:fill="FFFFFF"/>
        </w:rPr>
        <w:t>Ношение огнестрельного оружия лицом, находящимся в состоянии опьянения, в соответствии с Кодексом об административных правонарушениях РФ влечет штраф до пяти тысяч рублей с конфискацией оружия и патронов к нему либо лишение права на приобретение и хранение или хранение и ношение оружия на срок от одного года до двух лет с конфискацией оружия и патронов к нему.    </w:t>
      </w:r>
      <w:proofErr w:type="gramEnd"/>
    </w:p>
    <w:p w:rsidR="008838C2"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Правилами запрещается: осуществлять добычу охотничьих животных с применением охотничьего огнестрельного и (или) пневматического оружия ближе 200 метров от жилья; стрелять «на шум», «на шорох», по неясно видимой цели; стрелять по пернатой дичи, сидящей на проводах и опорах линий электропередач; стрелять вдоль линии стрелков.</w:t>
      </w:r>
    </w:p>
    <w:p w:rsidR="00B1074B" w:rsidRPr="00B1074B"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После добычи животного до начала его первичной переработки и транспортировки необходимо сделать соответствующую отметку о добыче на оборотной стороне разрешения на добычу охотничьих ресурсов, обеспечить его сохранность и поместить на месте отстрела.</w:t>
      </w:r>
    </w:p>
    <w:p w:rsidR="008838C2"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 xml:space="preserve">В случае обнаружения в охотничьих угодьях погибшего животного или его останков с признаками ранений, заболеваний охотник обязан сообщить о данном </w:t>
      </w:r>
      <w:r w:rsidRPr="00B1074B">
        <w:rPr>
          <w:rFonts w:cs="Times New Roman"/>
          <w:color w:val="000000"/>
          <w:szCs w:val="28"/>
          <w:shd w:val="clear" w:color="auto" w:fill="FFFFFF"/>
        </w:rPr>
        <w:lastRenderedPageBreak/>
        <w:t>факте в охотхозяйство либо егерю. Самовольное изъятие и перемещение погибших животных с мест обнаружения запрещены.</w:t>
      </w:r>
    </w:p>
    <w:p w:rsidR="008838C2"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 xml:space="preserve">Нарушение данных правил охоты влечет административную ответственность, предусмотренную ст.8.37 </w:t>
      </w:r>
      <w:proofErr w:type="spellStart"/>
      <w:r w:rsidRPr="00B1074B">
        <w:rPr>
          <w:rFonts w:cs="Times New Roman"/>
          <w:color w:val="000000"/>
          <w:szCs w:val="28"/>
          <w:shd w:val="clear" w:color="auto" w:fill="FFFFFF"/>
        </w:rPr>
        <w:t>КоАП</w:t>
      </w:r>
      <w:proofErr w:type="spellEnd"/>
      <w:r w:rsidRPr="00B1074B">
        <w:rPr>
          <w:rFonts w:cs="Times New Roman"/>
          <w:color w:val="000000"/>
          <w:szCs w:val="28"/>
          <w:shd w:val="clear" w:color="auto" w:fill="FFFFFF"/>
        </w:rPr>
        <w:t xml:space="preserve"> РФ, и наказание в виде денежного штрафа, лишения права заниматься охотой до 2 лет с конфискацией орудия охоты либо без таковой.</w:t>
      </w:r>
    </w:p>
    <w:p w:rsidR="00B1074B" w:rsidRPr="00B1074B" w:rsidRDefault="00B1074B" w:rsidP="00B1074B">
      <w:pPr>
        <w:ind w:firstLine="709"/>
        <w:jc w:val="both"/>
        <w:rPr>
          <w:rFonts w:cs="Times New Roman"/>
          <w:color w:val="000000"/>
          <w:szCs w:val="28"/>
          <w:shd w:val="clear" w:color="auto" w:fill="FFFFFF"/>
        </w:rPr>
      </w:pPr>
      <w:r w:rsidRPr="00B1074B">
        <w:rPr>
          <w:rFonts w:cs="Times New Roman"/>
          <w:color w:val="000000"/>
          <w:szCs w:val="28"/>
          <w:shd w:val="clear" w:color="auto" w:fill="FFFFFF"/>
        </w:rPr>
        <w:t>Наряду с административной ответственностью предусмотрена и уголовная ответственность за незаконную охоту: с причинением крупного ущерба; с применением механического транспортного средства или воздушного судна, взрывчатых веществ, газов и иных способов массового уничтожения птиц и зверей; в отношении птиц и зверей, охота на которых полностью запрещена; на особо охраняемой природной территории либо в зоне экологического бедствия или в зоне чрезвычайной экологической ситуации.</w:t>
      </w:r>
    </w:p>
    <w:p w:rsidR="00B1074B" w:rsidRPr="00B1074B" w:rsidRDefault="00B1074B" w:rsidP="00B1074B">
      <w:pPr>
        <w:ind w:firstLine="709"/>
        <w:jc w:val="both"/>
        <w:rPr>
          <w:rFonts w:cs="Times New Roman"/>
          <w:szCs w:val="28"/>
        </w:rPr>
      </w:pPr>
      <w:r w:rsidRPr="00B1074B">
        <w:rPr>
          <w:rFonts w:cs="Times New Roman"/>
          <w:color w:val="000000"/>
          <w:szCs w:val="28"/>
          <w:shd w:val="clear" w:color="auto" w:fill="FFFFFF"/>
        </w:rPr>
        <w:t xml:space="preserve">Охота является незаконной, если лицо не имеет соответствующего разрешения на ношение и хранение оружия, разрешения на добычу охотничьих ресурсов, охотничьего билета, охотиться вне отведенных мест, в запрещенные сроки или запрещенными способами и орудиями, а также добыча свыше разрешенного количества, указанного в разрешении. </w:t>
      </w:r>
      <w:proofErr w:type="gramStart"/>
      <w:r w:rsidRPr="00B1074B">
        <w:rPr>
          <w:rFonts w:cs="Times New Roman"/>
          <w:color w:val="000000"/>
          <w:szCs w:val="28"/>
          <w:shd w:val="clear" w:color="auto" w:fill="FFFFFF"/>
        </w:rPr>
        <w:t>Статьей 258 УК РФ предусмотрено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roofErr w:type="gramEnd"/>
    </w:p>
    <w:p w:rsidR="00BB08B6" w:rsidRPr="00B1074B" w:rsidRDefault="00BB08B6" w:rsidP="00B1074B">
      <w:pPr>
        <w:pStyle w:val="a3"/>
        <w:spacing w:before="0" w:beforeAutospacing="0" w:after="0" w:afterAutospacing="0"/>
        <w:jc w:val="both"/>
        <w:outlineLvl w:val="3"/>
        <w:rPr>
          <w:sz w:val="28"/>
          <w:szCs w:val="28"/>
        </w:rPr>
      </w:pPr>
    </w:p>
    <w:p w:rsidR="00B1074B" w:rsidRPr="00B1074B" w:rsidRDefault="00B1074B" w:rsidP="00B1074B">
      <w:pPr>
        <w:pStyle w:val="a3"/>
        <w:spacing w:before="0" w:beforeAutospacing="0" w:after="0" w:afterAutospacing="0"/>
        <w:jc w:val="both"/>
        <w:outlineLvl w:val="3"/>
        <w:rPr>
          <w:sz w:val="28"/>
          <w:szCs w:val="28"/>
        </w:rPr>
      </w:pPr>
      <w:r w:rsidRPr="00B1074B">
        <w:rPr>
          <w:sz w:val="28"/>
          <w:szCs w:val="28"/>
        </w:rPr>
        <w:t xml:space="preserve">Прокурор района </w:t>
      </w:r>
      <w:r>
        <w:rPr>
          <w:sz w:val="28"/>
          <w:szCs w:val="28"/>
        </w:rPr>
        <w:t xml:space="preserve">                                                                                </w:t>
      </w:r>
      <w:r w:rsidRPr="00B1074B">
        <w:rPr>
          <w:sz w:val="28"/>
          <w:szCs w:val="28"/>
        </w:rPr>
        <w:t>О.Р. Рамазанов</w:t>
      </w:r>
    </w:p>
    <w:sectPr w:rsidR="00B1074B" w:rsidRPr="00B1074B" w:rsidSect="007A4998">
      <w:pgSz w:w="11906" w:h="16838"/>
      <w:pgMar w:top="1134" w:right="424"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08B6"/>
    <w:rsid w:val="00195D76"/>
    <w:rsid w:val="00204B52"/>
    <w:rsid w:val="0025343E"/>
    <w:rsid w:val="003571CE"/>
    <w:rsid w:val="0039504E"/>
    <w:rsid w:val="00441F30"/>
    <w:rsid w:val="004E3EA1"/>
    <w:rsid w:val="005933CD"/>
    <w:rsid w:val="005D656E"/>
    <w:rsid w:val="00641CF2"/>
    <w:rsid w:val="00686823"/>
    <w:rsid w:val="00690174"/>
    <w:rsid w:val="007A4998"/>
    <w:rsid w:val="007E09AD"/>
    <w:rsid w:val="00817CFE"/>
    <w:rsid w:val="008371D2"/>
    <w:rsid w:val="008838C2"/>
    <w:rsid w:val="00941A57"/>
    <w:rsid w:val="009E19D6"/>
    <w:rsid w:val="00A80A61"/>
    <w:rsid w:val="00AD6DC0"/>
    <w:rsid w:val="00B1074B"/>
    <w:rsid w:val="00B34236"/>
    <w:rsid w:val="00B6045E"/>
    <w:rsid w:val="00B72974"/>
    <w:rsid w:val="00BB08B6"/>
    <w:rsid w:val="00CD3E76"/>
    <w:rsid w:val="00D8361C"/>
    <w:rsid w:val="00E176EF"/>
    <w:rsid w:val="00FB1AEF"/>
    <w:rsid w:val="00FE3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8B6"/>
    <w:pPr>
      <w:spacing w:before="100" w:beforeAutospacing="1" w:after="100" w:afterAutospacing="1"/>
    </w:pPr>
    <w:rPr>
      <w:rFonts w:eastAsia="Times New Roman" w:cs="Times New Roman"/>
      <w:sz w:val="24"/>
      <w:szCs w:val="24"/>
      <w:lang w:eastAsia="ru-RU"/>
    </w:rPr>
  </w:style>
  <w:style w:type="paragraph" w:styleId="a4">
    <w:name w:val="Balloon Text"/>
    <w:basedOn w:val="a"/>
    <w:link w:val="a5"/>
    <w:uiPriority w:val="99"/>
    <w:semiHidden/>
    <w:unhideWhenUsed/>
    <w:rsid w:val="005D656E"/>
    <w:rPr>
      <w:rFonts w:ascii="Tahoma" w:hAnsi="Tahoma" w:cs="Tahoma"/>
      <w:sz w:val="16"/>
      <w:szCs w:val="16"/>
    </w:rPr>
  </w:style>
  <w:style w:type="character" w:customStyle="1" w:styleId="a5">
    <w:name w:val="Текст выноски Знак"/>
    <w:basedOn w:val="a0"/>
    <w:link w:val="a4"/>
    <w:uiPriority w:val="99"/>
    <w:semiHidden/>
    <w:rsid w:val="005D6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94840">
      <w:bodyDiv w:val="1"/>
      <w:marLeft w:val="0"/>
      <w:marRight w:val="0"/>
      <w:marTop w:val="0"/>
      <w:marBottom w:val="0"/>
      <w:divBdr>
        <w:top w:val="none" w:sz="0" w:space="0" w:color="auto"/>
        <w:left w:val="none" w:sz="0" w:space="0" w:color="auto"/>
        <w:bottom w:val="none" w:sz="0" w:space="0" w:color="auto"/>
        <w:right w:val="none" w:sz="0" w:space="0" w:color="auto"/>
      </w:divBdr>
      <w:divsChild>
        <w:div w:id="1461610210">
          <w:marLeft w:val="0"/>
          <w:marRight w:val="0"/>
          <w:marTop w:val="0"/>
          <w:marBottom w:val="0"/>
          <w:divBdr>
            <w:top w:val="none" w:sz="0" w:space="0" w:color="auto"/>
            <w:left w:val="none" w:sz="0" w:space="0" w:color="auto"/>
            <w:bottom w:val="none" w:sz="0" w:space="0" w:color="auto"/>
            <w:right w:val="none" w:sz="0" w:space="0" w:color="auto"/>
          </w:divBdr>
        </w:div>
      </w:divsChild>
    </w:div>
    <w:div w:id="1000307541">
      <w:bodyDiv w:val="1"/>
      <w:marLeft w:val="0"/>
      <w:marRight w:val="0"/>
      <w:marTop w:val="0"/>
      <w:marBottom w:val="0"/>
      <w:divBdr>
        <w:top w:val="none" w:sz="0" w:space="0" w:color="auto"/>
        <w:left w:val="none" w:sz="0" w:space="0" w:color="auto"/>
        <w:bottom w:val="none" w:sz="0" w:space="0" w:color="auto"/>
        <w:right w:val="none" w:sz="0" w:space="0" w:color="auto"/>
      </w:divBdr>
    </w:div>
    <w:div w:id="1364748932">
      <w:bodyDiv w:val="1"/>
      <w:marLeft w:val="0"/>
      <w:marRight w:val="0"/>
      <w:marTop w:val="0"/>
      <w:marBottom w:val="0"/>
      <w:divBdr>
        <w:top w:val="none" w:sz="0" w:space="0" w:color="auto"/>
        <w:left w:val="none" w:sz="0" w:space="0" w:color="auto"/>
        <w:bottom w:val="none" w:sz="0" w:space="0" w:color="auto"/>
        <w:right w:val="none" w:sz="0" w:space="0" w:color="auto"/>
      </w:divBdr>
      <w:divsChild>
        <w:div w:id="9255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2017-10-17T06:04:00Z</cp:lastPrinted>
  <dcterms:created xsi:type="dcterms:W3CDTF">2017-04-19T06:10:00Z</dcterms:created>
  <dcterms:modified xsi:type="dcterms:W3CDTF">2017-10-17T06:20:00Z</dcterms:modified>
</cp:coreProperties>
</file>