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58" w:rsidRDefault="000D302A" w:rsidP="000B6558">
      <w:pPr>
        <w:spacing w:line="240" w:lineRule="exact"/>
        <w:ind w:left="4820"/>
        <w:rPr>
          <w:sz w:val="28"/>
        </w:rPr>
      </w:pPr>
      <w:r w:rsidRPr="000D302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.1pt;margin-top:9.65pt;width:180pt;height:221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5uxQIAALo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" filled="f" stroked="f">
            <v:textbox>
              <w:txbxContent>
                <w:p w:rsidR="000B6558" w:rsidRPr="00544FD2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716915" cy="760730"/>
                        <wp:effectExtent l="19050" t="0" r="6985" b="0"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-10000" contras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915" cy="760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2"/>
                    </w:rPr>
                  </w:pP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РОССИЙСКОЙ ФЕДЕРАЦИИ</w:t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0B6558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РЕСПУБЛИКИ ДАГЕСТАН</w:t>
                  </w:r>
                </w:p>
                <w:p w:rsidR="000B6558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ТЛЯРАТИНСКОГО РАЙОНА</w:t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6"/>
                    </w:rPr>
                  </w:pPr>
                </w:p>
                <w:tbl>
                  <w:tblPr>
                    <w:tblW w:w="0" w:type="auto"/>
                    <w:tblInd w:w="57" w:type="dxa"/>
                    <w:tblLayout w:type="fixed"/>
                    <w:tblCellMar>
                      <w:left w:w="57" w:type="dxa"/>
                      <w:right w:w="57" w:type="dxa"/>
                    </w:tblCellMar>
                    <w:tblLook w:val="0000"/>
                  </w:tblPr>
                  <w:tblGrid>
                    <w:gridCol w:w="1440"/>
                    <w:gridCol w:w="360"/>
                    <w:gridCol w:w="1470"/>
                  </w:tblGrid>
                  <w:tr w:rsidR="000B6558" w:rsidRPr="006A333A" w:rsidTr="000657DE">
                    <w:trPr>
                      <w:trHeight w:val="80"/>
                    </w:trPr>
                    <w:tc>
                      <w:tcPr>
                        <w:tcW w:w="3270" w:type="dxa"/>
                        <w:gridSpan w:val="3"/>
                        <w:tcBorders>
                          <w:top w:val="nil"/>
                        </w:tcBorders>
                      </w:tcPr>
                      <w:p w:rsidR="000B6558" w:rsidRDefault="000B6558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 w:rsidRPr="006A333A">
                          <w:rPr>
                            <w:color w:val="0000FF"/>
                            <w:sz w:val="16"/>
                            <w:szCs w:val="16"/>
                          </w:rPr>
                          <w:t>36</w:t>
                        </w: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8420, </w:t>
                        </w:r>
                        <w:proofErr w:type="spellStart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Тляратинский</w:t>
                        </w:r>
                        <w:proofErr w:type="spellEnd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 район, </w:t>
                        </w:r>
                        <w:proofErr w:type="gramStart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с</w:t>
                        </w:r>
                        <w:proofErr w:type="gramEnd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. Тлярата, </w:t>
                        </w:r>
                      </w:p>
                      <w:p w:rsidR="000B6558" w:rsidRDefault="000B6558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тел:  55-29-30, факс: 55-29-27</w:t>
                        </w:r>
                      </w:p>
                      <w:p w:rsidR="000B6558" w:rsidRPr="006A333A" w:rsidRDefault="000B6558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</w:rPr>
                        </w:pPr>
                      </w:p>
                    </w:tc>
                  </w:tr>
                  <w:tr w:rsidR="000B6558" w:rsidRPr="006A333A" w:rsidTr="000657DE">
                    <w:trPr>
                      <w:trHeight w:val="260"/>
                    </w:trPr>
                    <w:tc>
                      <w:tcPr>
                        <w:tcW w:w="1440" w:type="dxa"/>
                        <w:tcBorders>
                          <w:bottom w:val="single" w:sz="4" w:space="0" w:color="auto"/>
                        </w:tcBorders>
                      </w:tcPr>
                      <w:p w:rsidR="000B6558" w:rsidRPr="006A333A" w:rsidRDefault="000B6558" w:rsidP="00AC2A41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 xml:space="preserve">  </w:t>
                        </w:r>
                        <w:r w:rsidR="00AC2A41">
                          <w:rPr>
                            <w:color w:val="0000FF"/>
                          </w:rPr>
                          <w:t>18</w:t>
                        </w:r>
                        <w:r>
                          <w:rPr>
                            <w:color w:val="0000FF"/>
                          </w:rPr>
                          <w:t xml:space="preserve">.04.2017          </w:t>
                        </w:r>
                      </w:p>
                    </w:tc>
                    <w:tc>
                      <w:tcPr>
                        <w:tcW w:w="360" w:type="dxa"/>
                      </w:tcPr>
                      <w:p w:rsidR="000B6558" w:rsidRPr="006A333A" w:rsidRDefault="000B6558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</w:rPr>
                        </w:pPr>
                        <w:r w:rsidRPr="006A333A">
                          <w:rPr>
                            <w:b/>
                            <w:color w:val="0000FF"/>
                          </w:rPr>
                          <w:t>№</w:t>
                        </w:r>
                      </w:p>
                    </w:tc>
                    <w:tc>
                      <w:tcPr>
                        <w:tcW w:w="1470" w:type="dxa"/>
                        <w:tcBorders>
                          <w:bottom w:val="single" w:sz="4" w:space="0" w:color="auto"/>
                        </w:tcBorders>
                      </w:tcPr>
                      <w:p w:rsidR="000B6558" w:rsidRPr="006A333A" w:rsidRDefault="000B6558" w:rsidP="000B6558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>04-04-2017</w:t>
                        </w:r>
                      </w:p>
                    </w:tc>
                  </w:tr>
                </w:tbl>
                <w:p w:rsidR="000B6558" w:rsidRPr="006A333A" w:rsidRDefault="000B6558" w:rsidP="000B6558">
                  <w:pPr>
                    <w:tabs>
                      <w:tab w:val="left" w:pos="912"/>
                    </w:tabs>
                    <w:contextualSpacing/>
                  </w:pPr>
                </w:p>
              </w:txbxContent>
            </v:textbox>
          </v:shape>
        </w:pict>
      </w:r>
      <w:r w:rsidR="000B6558">
        <w:rPr>
          <w:sz w:val="28"/>
          <w:szCs w:val="28"/>
        </w:rPr>
        <w:t>Г</w:t>
      </w:r>
      <w:r w:rsidR="000B6558">
        <w:rPr>
          <w:sz w:val="28"/>
        </w:rPr>
        <w:t>лаве администрации МР «</w:t>
      </w:r>
      <w:proofErr w:type="spellStart"/>
      <w:r w:rsidR="000B6558">
        <w:t>Тляратинский</w:t>
      </w:r>
      <w:proofErr w:type="spellEnd"/>
      <w:r w:rsidR="000B6558">
        <w:t xml:space="preserve"> </w:t>
      </w:r>
      <w:r w:rsidR="000B6558">
        <w:rPr>
          <w:sz w:val="28"/>
        </w:rPr>
        <w:t xml:space="preserve">район»   </w:t>
      </w: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  <w:proofErr w:type="spellStart"/>
      <w:r>
        <w:t>Раджабову</w:t>
      </w:r>
      <w:proofErr w:type="spellEnd"/>
      <w:r>
        <w:t xml:space="preserve"> Р.Г.</w:t>
      </w: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ind w:firstLine="720"/>
        <w:jc w:val="both"/>
        <w:rPr>
          <w:sz w:val="28"/>
        </w:rPr>
      </w:pPr>
    </w:p>
    <w:p w:rsidR="00B24FA5" w:rsidRDefault="000B6558" w:rsidP="00B24FA5">
      <w:pPr>
        <w:ind w:firstLine="709"/>
        <w:jc w:val="both"/>
      </w:pPr>
      <w:r w:rsidRPr="00B24FA5">
        <w:t>Для опубликования на официальном сайте администрации МР «</w:t>
      </w:r>
      <w:proofErr w:type="spellStart"/>
      <w:r w:rsidRPr="00B24FA5">
        <w:t>Тляратинский</w:t>
      </w:r>
      <w:proofErr w:type="spellEnd"/>
      <w:r w:rsidRPr="00B24FA5">
        <w:t xml:space="preserve"> район»  в рубрике «Прокуратура разъясняет»  направляется статья </w:t>
      </w:r>
      <w:r w:rsidR="00B24FA5" w:rsidRPr="00197B24">
        <w:rPr>
          <w:b/>
        </w:rPr>
        <w:t>«Возмещение вреда, причиненного повреждением транспортного средства»</w:t>
      </w:r>
      <w:r w:rsidR="00B24FA5">
        <w:t>.</w:t>
      </w:r>
    </w:p>
    <w:p w:rsidR="00B24FA5" w:rsidRPr="00B24FA5" w:rsidRDefault="00B24FA5" w:rsidP="00B24FA5">
      <w:pPr>
        <w:ind w:firstLine="709"/>
        <w:jc w:val="both"/>
      </w:pPr>
      <w:proofErr w:type="gramStart"/>
      <w:r w:rsidRPr="00B24FA5">
        <w:t>В случае причинения вреда транспортному средству потерпевшему должны быть возмещены расходы на полное восстановление эксплуатационных и товарных характеристик поврежденного транспортного средства Конституционный Суд РФ признал не противоречащими Конституции РФ взаимосвязанные положения статьи 15, пункта 1 статьи 1064, статьи 1072 и пункта 1 статьи 1079 ГК РФ, поскольку по своему конституционно-правовому смыслу в системе действующего правового регулирования и во взаимосвязи с</w:t>
      </w:r>
      <w:proofErr w:type="gramEnd"/>
      <w:r w:rsidRPr="00B24FA5">
        <w:t xml:space="preserve"> </w:t>
      </w:r>
      <w:proofErr w:type="gramStart"/>
      <w:r w:rsidRPr="00B24FA5">
        <w:t>положениями Федерального закона "Об обязательном страховании гражданской ответственности владельцев транспортных средств" они предполагают - исходя из принципа полного возмещения вреда - возможность возмещения потерпевшему лицом, гражданская ответственность которого застрахована по договору обязательного страхования гражданской ответственности владельцев транспортных средств, вреда, причиненного при эксплуатации транспортного средства, в размере, который превышает страховое возмещение, выплаченное потерпевшему в соответствии с законодательством об обязательном страховании гражданской ответственности.</w:t>
      </w:r>
      <w:proofErr w:type="gramEnd"/>
    </w:p>
    <w:p w:rsidR="00B24FA5" w:rsidRPr="00B24FA5" w:rsidRDefault="00B24FA5" w:rsidP="00B24FA5">
      <w:pPr>
        <w:ind w:firstLine="709"/>
        <w:jc w:val="both"/>
      </w:pPr>
      <w:r w:rsidRPr="00B24FA5">
        <w:t xml:space="preserve">При этом Конституционный Суд РФ в числе прочего отметил, что лицо, к которому потерпевшим предъявлены требования о возмещении разницы между страховой выплатой и фактическим размером причиненного ущерба, не лишено права ходатайствовать о назначении соответствующей судебной экспертизы, о снижении размера подлежащего выплате возмещения и выдвигать иные возражения. В частности, размер возмещения, подлежащего выплате лицом, причинившим вред, может быть уменьшен судом, если ответчиком будет доказано или из обстоятельств дела следует с очевидностью, что существует иной, более разумный и распространенный в обороте способ исправления таких повреждений подобного имущества. </w:t>
      </w:r>
      <w:proofErr w:type="gramStart"/>
      <w:r w:rsidRPr="00B24FA5">
        <w:t>Кроме того, такое уменьшение допустимо, если в результате возмещения причиненного вреда с учетом стоимости новых деталей, узлов, агрегатов произойдет значительное улучшение транспортного средства, влекущее существенное и явно несправедливое увеличение его стоимости за счет лица, причинившего вред (например, когда при восстановительном ремонте детали, узлы, механизмы, которые имеют постоянный нормальный износ и подлежат регулярной своевременной замене в соответствии с требованиями по эксплуатации</w:t>
      </w:r>
      <w:proofErr w:type="gramEnd"/>
      <w:r w:rsidRPr="00B24FA5">
        <w:t xml:space="preserve"> транспортного средства, были заменены </w:t>
      </w:r>
      <w:proofErr w:type="gramStart"/>
      <w:r w:rsidRPr="00B24FA5">
        <w:t>на</w:t>
      </w:r>
      <w:proofErr w:type="gramEnd"/>
      <w:r w:rsidRPr="00B24FA5">
        <w:t xml:space="preserve"> новые).</w:t>
      </w:r>
    </w:p>
    <w:p w:rsidR="00B24FA5" w:rsidRPr="00B24FA5" w:rsidRDefault="00B24FA5" w:rsidP="00B24FA5">
      <w:pPr>
        <w:pStyle w:val="a7"/>
        <w:ind w:firstLine="709"/>
        <w:jc w:val="both"/>
      </w:pPr>
      <w:r w:rsidRPr="00B24FA5">
        <w:t xml:space="preserve">Установление подобного рода обстоятельств является прерогативой суда, который в силу присущих ему дискреционных полномочий, необходимых для осуществления </w:t>
      </w:r>
      <w:r w:rsidRPr="00B24FA5">
        <w:lastRenderedPageBreak/>
        <w:t>правосудия и вытекающих из принципа самостоятельности судебной власти, разрешает дело на основе установления и исследования всех его обстоятельств, что, однако, не предполагает оценку судом доказатель</w:t>
      </w:r>
      <w:proofErr w:type="gramStart"/>
      <w:r w:rsidRPr="00B24FA5">
        <w:t>ств пр</w:t>
      </w:r>
      <w:proofErr w:type="gramEnd"/>
      <w:r w:rsidRPr="00B24FA5">
        <w:t>оизвольно и в противоречии с законом.</w:t>
      </w:r>
    </w:p>
    <w:p w:rsidR="00B24FA5" w:rsidRPr="00B24FA5" w:rsidRDefault="00B24FA5" w:rsidP="00B24FA5">
      <w:pPr>
        <w:pStyle w:val="a7"/>
        <w:ind w:firstLine="709"/>
        <w:jc w:val="both"/>
      </w:pPr>
      <w:proofErr w:type="gramStart"/>
      <w:r w:rsidRPr="00B24FA5">
        <w:t xml:space="preserve">Уважаемые посетители сайта, кто пожелает получить более подробную информацию по освещаемому вопросу, вы можете ознакомиться с Постановлением Конституционного Суда РФ от 10.03.2017 N 6-П "По делу о проверке конституционности статьи 15, пункта 1 статьи 1064, статьи 1072 и пункта 1 стати 1079 Гражданского кодекса Российской Федерации в связи с жалобами граждан А.С. </w:t>
      </w:r>
      <w:proofErr w:type="spellStart"/>
      <w:r w:rsidRPr="00B24FA5">
        <w:t>Аринушенко</w:t>
      </w:r>
      <w:proofErr w:type="spellEnd"/>
      <w:r w:rsidRPr="00B24FA5">
        <w:t xml:space="preserve">, Г.С. </w:t>
      </w:r>
      <w:proofErr w:type="spellStart"/>
      <w:r w:rsidRPr="00B24FA5">
        <w:t>Бересневой</w:t>
      </w:r>
      <w:proofErr w:type="spellEnd"/>
      <w:r w:rsidRPr="00B24FA5">
        <w:t xml:space="preserve"> и других".</w:t>
      </w:r>
      <w:proofErr w:type="gramEnd"/>
    </w:p>
    <w:p w:rsidR="00B24FA5" w:rsidRDefault="00B24FA5" w:rsidP="00B24FA5">
      <w:pPr>
        <w:jc w:val="both"/>
        <w:textAlignment w:val="baseline"/>
        <w:rPr>
          <w:rFonts w:ascii="Tahoma" w:hAnsi="Tahoma" w:cs="Tahoma"/>
          <w:color w:val="4D4D4D"/>
          <w:sz w:val="13"/>
          <w:szCs w:val="13"/>
        </w:rPr>
      </w:pPr>
      <w:r>
        <w:rPr>
          <w:rFonts w:ascii="Tahoma" w:hAnsi="Tahoma" w:cs="Tahoma"/>
          <w:color w:val="4D4D4D"/>
          <w:sz w:val="13"/>
          <w:szCs w:val="13"/>
        </w:rPr>
        <w:t> </w:t>
      </w: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Pr="000B6558" w:rsidRDefault="000B6558" w:rsidP="000B6558">
      <w:pPr>
        <w:pStyle w:val="a3"/>
        <w:spacing w:before="0" w:beforeAutospacing="0" w:after="0" w:afterAutospacing="0"/>
        <w:outlineLvl w:val="3"/>
        <w:rPr>
          <w:bCs/>
          <w:color w:val="000000"/>
          <w:sz w:val="28"/>
          <w:szCs w:val="28"/>
        </w:rPr>
      </w:pPr>
      <w:r w:rsidRPr="000B6558">
        <w:rPr>
          <w:bCs/>
          <w:color w:val="000000"/>
          <w:sz w:val="28"/>
          <w:szCs w:val="28"/>
        </w:rPr>
        <w:t xml:space="preserve">И.о. прокурора района   </w:t>
      </w:r>
      <w:r>
        <w:rPr>
          <w:bCs/>
          <w:color w:val="000000"/>
          <w:sz w:val="28"/>
          <w:szCs w:val="28"/>
        </w:rPr>
        <w:t xml:space="preserve"> </w:t>
      </w:r>
      <w:r w:rsidRPr="000B6558">
        <w:rPr>
          <w:bCs/>
          <w:color w:val="000000"/>
          <w:sz w:val="28"/>
          <w:szCs w:val="28"/>
        </w:rPr>
        <w:t xml:space="preserve">                                                                 О.Р. Рамазанов</w:t>
      </w: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F62BAF" w:rsidP="000B6558">
      <w:pPr>
        <w:pStyle w:val="a3"/>
        <w:shd w:val="clear" w:color="auto" w:fill="FEFEFE"/>
        <w:spacing w:before="0" w:beforeAutospacing="0" w:after="0" w:afterAutospacing="0"/>
        <w:textAlignment w:val="baseline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</w:t>
      </w:r>
    </w:p>
    <w:p w:rsidR="00690174" w:rsidRDefault="00690174"/>
    <w:sectPr w:rsidR="00690174" w:rsidSect="0069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B6558"/>
    <w:rsid w:val="000B6558"/>
    <w:rsid w:val="000D302A"/>
    <w:rsid w:val="00197B24"/>
    <w:rsid w:val="001B3C16"/>
    <w:rsid w:val="00204B52"/>
    <w:rsid w:val="002F063A"/>
    <w:rsid w:val="003A1A0D"/>
    <w:rsid w:val="00690174"/>
    <w:rsid w:val="006C4C42"/>
    <w:rsid w:val="006E119D"/>
    <w:rsid w:val="00A36393"/>
    <w:rsid w:val="00A80A61"/>
    <w:rsid w:val="00AC2A41"/>
    <w:rsid w:val="00B24FA5"/>
    <w:rsid w:val="00EE67E4"/>
    <w:rsid w:val="00F62BAF"/>
    <w:rsid w:val="00F72D75"/>
    <w:rsid w:val="00FA0F66"/>
    <w:rsid w:val="00FB1AEF"/>
    <w:rsid w:val="00FE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58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24F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655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B6558"/>
  </w:style>
  <w:style w:type="character" w:styleId="a4">
    <w:name w:val="Hyperlink"/>
    <w:basedOn w:val="a0"/>
    <w:uiPriority w:val="99"/>
    <w:semiHidden/>
    <w:unhideWhenUsed/>
    <w:rsid w:val="000B65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65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B65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24FA5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24FA5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2017-04-18T12:25:00Z</cp:lastPrinted>
  <dcterms:created xsi:type="dcterms:W3CDTF">2017-04-05T06:23:00Z</dcterms:created>
  <dcterms:modified xsi:type="dcterms:W3CDTF">2017-04-18T12:28:00Z</dcterms:modified>
</cp:coreProperties>
</file>