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793" w:rsidRDefault="00895D9C" w:rsidP="00895D9C">
      <w:pPr>
        <w:shd w:val="clear" w:color="auto" w:fill="FFFFFF"/>
        <w:spacing w:after="0" w:line="450" w:lineRule="atLeast"/>
        <w:ind w:firstLine="708"/>
        <w:jc w:val="both"/>
        <w:outlineLvl w:val="1"/>
        <w:rPr>
          <w:rFonts w:ascii="Times New Roman" w:eastAsia="Times New Roman" w:hAnsi="Times New Roman" w:cs="Times New Roman"/>
          <w:bCs/>
          <w:color w:val="1C1C1C"/>
          <w:sz w:val="28"/>
          <w:szCs w:val="28"/>
          <w:lang w:eastAsia="ru-RU"/>
        </w:rPr>
      </w:pPr>
      <w:bookmarkStart w:id="0" w:name="_Hlk202122718"/>
      <w:bookmarkStart w:id="1" w:name="_Hlk202122843"/>
      <w:proofErr w:type="spellStart"/>
      <w:r w:rsidRPr="00895D9C">
        <w:rPr>
          <w:rFonts w:ascii="Times New Roman" w:eastAsia="Times New Roman" w:hAnsi="Times New Roman" w:cs="Times New Roman"/>
          <w:b/>
          <w:sz w:val="28"/>
          <w:szCs w:val="28"/>
          <w:lang w:eastAsia="ru-RU"/>
        </w:rPr>
        <w:t>Тляратинская</w:t>
      </w:r>
      <w:proofErr w:type="spellEnd"/>
      <w:r w:rsidRPr="00895D9C">
        <w:rPr>
          <w:rFonts w:ascii="Times New Roman" w:eastAsia="Times New Roman" w:hAnsi="Times New Roman" w:cs="Times New Roman"/>
          <w:b/>
          <w:sz w:val="28"/>
          <w:szCs w:val="28"/>
          <w:lang w:eastAsia="ru-RU"/>
        </w:rPr>
        <w:t xml:space="preserve"> межрайонная прокуратура РАЗЪЯСНЯЕТ</w:t>
      </w:r>
      <w:bookmarkEnd w:id="0"/>
      <w:r w:rsidRPr="00895D9C">
        <w:rPr>
          <w:rFonts w:ascii="Times New Roman" w:hAnsi="Times New Roman" w:cs="Times New Roman"/>
          <w:sz w:val="28"/>
          <w:szCs w:val="28"/>
        </w:rPr>
        <w:t>:</w:t>
      </w:r>
      <w:bookmarkEnd w:id="1"/>
      <w:r>
        <w:rPr>
          <w:rFonts w:ascii="Times New Roman" w:hAnsi="Times New Roman" w:cs="Times New Roman"/>
          <w:sz w:val="28"/>
          <w:szCs w:val="28"/>
        </w:rPr>
        <w:t xml:space="preserve"> </w:t>
      </w:r>
      <w:r>
        <w:rPr>
          <w:rFonts w:ascii="Times New Roman" w:eastAsia="Times New Roman" w:hAnsi="Times New Roman" w:cs="Times New Roman"/>
          <w:bCs/>
          <w:color w:val="1C1C1C"/>
          <w:sz w:val="28"/>
          <w:szCs w:val="28"/>
          <w:lang w:eastAsia="ru-RU"/>
        </w:rPr>
        <w:t>о</w:t>
      </w:r>
      <w:r w:rsidR="00791793" w:rsidRPr="00895D9C">
        <w:rPr>
          <w:rFonts w:ascii="Times New Roman" w:eastAsia="Times New Roman" w:hAnsi="Times New Roman" w:cs="Times New Roman"/>
          <w:bCs/>
          <w:color w:val="1C1C1C"/>
          <w:sz w:val="28"/>
          <w:szCs w:val="28"/>
          <w:lang w:eastAsia="ru-RU"/>
        </w:rPr>
        <w:t>тветственность за вред, причиненный несовершеннолетними в возрасте до 14 лет</w:t>
      </w:r>
      <w:r>
        <w:rPr>
          <w:rFonts w:ascii="Times New Roman" w:eastAsia="Times New Roman" w:hAnsi="Times New Roman" w:cs="Times New Roman"/>
          <w:bCs/>
          <w:color w:val="1C1C1C"/>
          <w:sz w:val="28"/>
          <w:szCs w:val="28"/>
          <w:lang w:eastAsia="ru-RU"/>
        </w:rPr>
        <w:t>.</w:t>
      </w:r>
    </w:p>
    <w:p w:rsidR="00895D9C" w:rsidRDefault="00895D9C" w:rsidP="00895D9C">
      <w:pPr>
        <w:spacing w:after="45" w:line="240" w:lineRule="auto"/>
        <w:rPr>
          <w:rFonts w:ascii="Times New Roman" w:eastAsia="Times New Roman" w:hAnsi="Times New Roman" w:cs="Times New Roman"/>
          <w:color w:val="878787"/>
          <w:sz w:val="28"/>
          <w:szCs w:val="28"/>
          <w:lang w:eastAsia="ru-RU"/>
        </w:rPr>
      </w:pPr>
      <w:bookmarkStart w:id="2" w:name="_Hlk202122753"/>
    </w:p>
    <w:p w:rsidR="00895D9C" w:rsidRDefault="00895D9C" w:rsidP="00895D9C">
      <w:pPr>
        <w:spacing w:after="45" w:line="240" w:lineRule="auto"/>
        <w:rPr>
          <w:rFonts w:ascii="Times New Roman" w:eastAsia="Times New Roman" w:hAnsi="Times New Roman" w:cs="Times New Roman"/>
          <w:color w:val="878787"/>
          <w:sz w:val="28"/>
          <w:szCs w:val="28"/>
          <w:lang w:eastAsia="ru-RU"/>
        </w:rPr>
      </w:pPr>
      <w:r>
        <w:rPr>
          <w:rFonts w:ascii="Times New Roman" w:eastAsia="Times New Roman" w:hAnsi="Times New Roman" w:cs="Times New Roman"/>
          <w:color w:val="878787"/>
          <w:sz w:val="28"/>
          <w:szCs w:val="28"/>
          <w:lang w:eastAsia="ru-RU"/>
        </w:rPr>
        <w:t>10</w:t>
      </w:r>
      <w:r w:rsidRPr="00455B2E">
        <w:rPr>
          <w:rFonts w:ascii="Times New Roman" w:eastAsia="Times New Roman" w:hAnsi="Times New Roman" w:cs="Times New Roman"/>
          <w:color w:val="878787"/>
          <w:sz w:val="28"/>
          <w:szCs w:val="28"/>
          <w:lang w:eastAsia="ru-RU"/>
        </w:rPr>
        <w:t xml:space="preserve"> июня 2025 1</w:t>
      </w:r>
      <w:r>
        <w:rPr>
          <w:rFonts w:ascii="Times New Roman" w:eastAsia="Times New Roman" w:hAnsi="Times New Roman" w:cs="Times New Roman"/>
          <w:color w:val="878787"/>
          <w:sz w:val="28"/>
          <w:szCs w:val="28"/>
          <w:lang w:eastAsia="ru-RU"/>
        </w:rPr>
        <w:t>7</w:t>
      </w:r>
      <w:bookmarkStart w:id="3" w:name="_GoBack"/>
      <w:bookmarkEnd w:id="3"/>
      <w:r w:rsidRPr="00455B2E">
        <w:rPr>
          <w:rFonts w:ascii="Times New Roman" w:eastAsia="Times New Roman" w:hAnsi="Times New Roman" w:cs="Times New Roman"/>
          <w:color w:val="878787"/>
          <w:sz w:val="28"/>
          <w:szCs w:val="28"/>
          <w:lang w:eastAsia="ru-RU"/>
        </w:rPr>
        <w:t>:31</w:t>
      </w:r>
    </w:p>
    <w:bookmarkEnd w:id="2"/>
    <w:p w:rsidR="00895D9C" w:rsidRPr="00895D9C" w:rsidRDefault="00895D9C" w:rsidP="00895D9C">
      <w:pPr>
        <w:shd w:val="clear" w:color="auto" w:fill="FFFFFF"/>
        <w:spacing w:after="0" w:line="450" w:lineRule="atLeast"/>
        <w:ind w:firstLine="708"/>
        <w:jc w:val="both"/>
        <w:outlineLvl w:val="1"/>
        <w:rPr>
          <w:rFonts w:ascii="Times New Roman" w:eastAsia="Times New Roman" w:hAnsi="Times New Roman" w:cs="Times New Roman"/>
          <w:bCs/>
          <w:color w:val="1C1C1C"/>
          <w:sz w:val="28"/>
          <w:szCs w:val="28"/>
          <w:lang w:eastAsia="ru-RU"/>
        </w:rPr>
      </w:pPr>
    </w:p>
    <w:p w:rsidR="00791793" w:rsidRPr="00895D9C" w:rsidRDefault="00791793" w:rsidP="00895D9C">
      <w:pPr>
        <w:shd w:val="clear" w:color="auto" w:fill="FFFFFF"/>
        <w:spacing w:after="0" w:line="240" w:lineRule="auto"/>
        <w:ind w:firstLine="708"/>
        <w:jc w:val="both"/>
        <w:rPr>
          <w:rFonts w:ascii="Times New Roman" w:eastAsia="Times New Roman" w:hAnsi="Times New Roman" w:cs="Times New Roman"/>
          <w:color w:val="444141"/>
          <w:sz w:val="28"/>
          <w:szCs w:val="28"/>
          <w:lang w:eastAsia="ru-RU"/>
        </w:rPr>
      </w:pPr>
      <w:r w:rsidRPr="00895D9C">
        <w:rPr>
          <w:rFonts w:ascii="Times New Roman" w:eastAsia="Times New Roman" w:hAnsi="Times New Roman" w:cs="Times New Roman"/>
          <w:color w:val="444141"/>
          <w:sz w:val="28"/>
          <w:szCs w:val="28"/>
          <w:lang w:eastAsia="ru-RU"/>
        </w:rPr>
        <w:t>За вред, причиненный несовершеннолетним, не достигшим 14 лет (малолетним), отвечают родители (усыновители) или опекуны, если не докажут, что вред возник не по их вине.</w:t>
      </w:r>
    </w:p>
    <w:p w:rsidR="00791793" w:rsidRPr="00895D9C" w:rsidRDefault="00791793" w:rsidP="00895D9C">
      <w:pPr>
        <w:shd w:val="clear" w:color="auto" w:fill="FFFFFF"/>
        <w:spacing w:after="0" w:line="240" w:lineRule="auto"/>
        <w:ind w:firstLine="708"/>
        <w:jc w:val="both"/>
        <w:rPr>
          <w:rFonts w:ascii="Times New Roman" w:eastAsia="Times New Roman" w:hAnsi="Times New Roman" w:cs="Times New Roman"/>
          <w:color w:val="444141"/>
          <w:sz w:val="28"/>
          <w:szCs w:val="28"/>
          <w:lang w:eastAsia="ru-RU"/>
        </w:rPr>
      </w:pPr>
      <w:r w:rsidRPr="00895D9C">
        <w:rPr>
          <w:rFonts w:ascii="Times New Roman" w:eastAsia="Times New Roman" w:hAnsi="Times New Roman" w:cs="Times New Roman"/>
          <w:color w:val="444141"/>
          <w:sz w:val="28"/>
          <w:szCs w:val="28"/>
          <w:lang w:eastAsia="ru-RU"/>
        </w:rPr>
        <w:t>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вине учреждения. Если малолетний причинил вред в том время, когда он находился под надзором образовательного, воспитательного, лечебного или иного учреждения, обязанного осуществлять за ним надзор, либо лица, осуществляющего надзор на основании договора, это учреждение или лицо отвечает за вред, если не докажет, что вред возник не по его вине в осуществлении надзора.</w:t>
      </w:r>
    </w:p>
    <w:p w:rsidR="00791793" w:rsidRPr="00895D9C" w:rsidRDefault="00791793" w:rsidP="00895D9C">
      <w:pPr>
        <w:shd w:val="clear" w:color="auto" w:fill="FFFFFF"/>
        <w:spacing w:after="0" w:line="240" w:lineRule="auto"/>
        <w:ind w:firstLine="708"/>
        <w:jc w:val="both"/>
        <w:rPr>
          <w:rFonts w:ascii="Times New Roman" w:eastAsia="Times New Roman" w:hAnsi="Times New Roman" w:cs="Times New Roman"/>
          <w:color w:val="444141"/>
          <w:sz w:val="28"/>
          <w:szCs w:val="28"/>
          <w:lang w:eastAsia="ru-RU"/>
        </w:rPr>
      </w:pPr>
      <w:r w:rsidRPr="00895D9C">
        <w:rPr>
          <w:rFonts w:ascii="Times New Roman" w:eastAsia="Times New Roman" w:hAnsi="Times New Roman" w:cs="Times New Roman"/>
          <w:color w:val="444141"/>
          <w:sz w:val="28"/>
          <w:szCs w:val="28"/>
          <w:lang w:eastAsia="ru-RU"/>
        </w:rPr>
        <w:t>Обязанность родителей (усыновителей), опекунов, образовательных, воспитательных, лечебных и иных учреждений по возмещению вреда, причиненного малолетним, не прекращается с достижением малолетним совершеннолетия или получением им имуществом, достаточного для возмещения вреда. Если родители (усыновители), опекуны либо другие граждане, умерли или не имеют достаточных средств для возмещения вреда, причиненного жизни 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средств самого причинителя вреда.</w:t>
      </w:r>
    </w:p>
    <w:tbl>
      <w:tblPr>
        <w:tblW w:w="10110" w:type="dxa"/>
        <w:shd w:val="clear" w:color="auto" w:fill="FFFFFF"/>
        <w:tblCellMar>
          <w:top w:w="15" w:type="dxa"/>
          <w:left w:w="15" w:type="dxa"/>
          <w:bottom w:w="15" w:type="dxa"/>
          <w:right w:w="15" w:type="dxa"/>
        </w:tblCellMar>
        <w:tblLook w:val="04A0" w:firstRow="1" w:lastRow="0" w:firstColumn="1" w:lastColumn="0" w:noHBand="0" w:noVBand="1"/>
      </w:tblPr>
      <w:tblGrid>
        <w:gridCol w:w="10110"/>
      </w:tblGrid>
      <w:tr w:rsidR="00791793" w:rsidRPr="00895D9C" w:rsidTr="00791793">
        <w:tc>
          <w:tcPr>
            <w:tcW w:w="0" w:type="auto"/>
            <w:shd w:val="clear" w:color="auto" w:fill="FFFFFF"/>
            <w:vAlign w:val="center"/>
            <w:hideMark/>
          </w:tcPr>
          <w:p w:rsidR="00791793" w:rsidRPr="00895D9C" w:rsidRDefault="00791793" w:rsidP="00791793">
            <w:pPr>
              <w:spacing w:before="150" w:after="0" w:line="240" w:lineRule="auto"/>
              <w:rPr>
                <w:rFonts w:ascii="Times New Roman" w:eastAsia="Times New Roman" w:hAnsi="Times New Roman" w:cs="Times New Roman"/>
                <w:color w:val="444141"/>
                <w:sz w:val="28"/>
                <w:szCs w:val="28"/>
                <w:lang w:eastAsia="ru-RU"/>
              </w:rPr>
            </w:pPr>
          </w:p>
        </w:tc>
      </w:tr>
    </w:tbl>
    <w:p w:rsidR="004D1000" w:rsidRDefault="004D1000">
      <w:pPr>
        <w:rPr>
          <w:rFonts w:ascii="Times New Roman" w:hAnsi="Times New Roman" w:cs="Times New Roman"/>
          <w:sz w:val="28"/>
          <w:szCs w:val="28"/>
        </w:rPr>
      </w:pPr>
    </w:p>
    <w:p w:rsidR="00895D9C" w:rsidRPr="00895D9C" w:rsidRDefault="00895D9C" w:rsidP="00895D9C">
      <w:pPr>
        <w:rPr>
          <w:rFonts w:ascii="Times New Roman" w:hAnsi="Times New Roman" w:cs="Times New Roman"/>
          <w:sz w:val="28"/>
          <w:szCs w:val="28"/>
        </w:rPr>
      </w:pPr>
      <w:r w:rsidRPr="00895D9C">
        <w:rPr>
          <w:rFonts w:ascii="Times New Roman" w:hAnsi="Times New Roman" w:cs="Times New Roman"/>
          <w:sz w:val="28"/>
          <w:szCs w:val="28"/>
        </w:rPr>
        <w:t xml:space="preserve">Помощник межрайонного прокурора                                              </w:t>
      </w:r>
      <w:r>
        <w:rPr>
          <w:rFonts w:ascii="Times New Roman" w:hAnsi="Times New Roman" w:cs="Times New Roman"/>
          <w:sz w:val="28"/>
          <w:szCs w:val="28"/>
        </w:rPr>
        <w:t xml:space="preserve"> </w:t>
      </w:r>
      <w:r w:rsidRPr="00895D9C">
        <w:rPr>
          <w:rFonts w:ascii="Times New Roman" w:hAnsi="Times New Roman" w:cs="Times New Roman"/>
          <w:sz w:val="28"/>
          <w:szCs w:val="28"/>
        </w:rPr>
        <w:t xml:space="preserve"> И.Б. Денгаев</w:t>
      </w:r>
    </w:p>
    <w:p w:rsidR="00895D9C" w:rsidRPr="00895D9C" w:rsidRDefault="00895D9C" w:rsidP="00895D9C">
      <w:pPr>
        <w:rPr>
          <w:rFonts w:ascii="Times New Roman" w:hAnsi="Times New Roman" w:cs="Times New Roman"/>
          <w:sz w:val="28"/>
          <w:szCs w:val="28"/>
        </w:rPr>
      </w:pPr>
      <w:r w:rsidRPr="00895D9C">
        <w:rPr>
          <w:rFonts w:ascii="Times New Roman" w:hAnsi="Times New Roman" w:cs="Times New Roman"/>
          <w:sz w:val="28"/>
          <w:szCs w:val="28"/>
        </w:rPr>
        <w:t xml:space="preserve">                                                                          </w:t>
      </w:r>
    </w:p>
    <w:sectPr w:rsidR="00895D9C" w:rsidRPr="00895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32F"/>
    <w:rsid w:val="004D1000"/>
    <w:rsid w:val="00791793"/>
    <w:rsid w:val="00895D9C"/>
    <w:rsid w:val="00EF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F5C6"/>
  <w15:docId w15:val="{85F5D3E6-8844-40D4-8E1B-5721B1F6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91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179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917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 Газимагомедов</dc:creator>
  <cp:keywords/>
  <dc:description/>
  <cp:lastModifiedBy>Денгаев Ибрагимгаджи Багадурович</cp:lastModifiedBy>
  <cp:revision>3</cp:revision>
  <cp:lastPrinted>2025-06-29T18:12:00Z</cp:lastPrinted>
  <dcterms:created xsi:type="dcterms:W3CDTF">2025-05-07T09:56:00Z</dcterms:created>
  <dcterms:modified xsi:type="dcterms:W3CDTF">2025-06-29T18:12:00Z</dcterms:modified>
</cp:coreProperties>
</file>