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675" w:lineRule="atLeast"/>
        <w:ind/>
        <w:outlineLvl w:val="0"/>
        <w:rPr>
          <w:rFonts w:ascii="Tahoma" w:hAnsi="Tahoma"/>
          <w:color w:val="A6381D"/>
          <w:sz w:val="54"/>
        </w:rPr>
      </w:pPr>
      <w:r>
        <w:rPr>
          <w:rFonts w:ascii="Times New Roman" w:hAnsi="Times New Roman"/>
          <w:b w:val="1"/>
          <w:sz w:val="28"/>
        </w:rPr>
        <w:t>Тляратинская межрайонная п</w:t>
      </w:r>
      <w:r>
        <w:rPr>
          <w:rFonts w:ascii="Times New Roman" w:hAnsi="Times New Roman"/>
          <w:b w:val="1"/>
          <w:sz w:val="28"/>
        </w:rPr>
        <w:t>рокуратура</w:t>
      </w:r>
      <w:r>
        <w:rPr>
          <w:rFonts w:ascii="Times New Roman" w:hAnsi="Times New Roman"/>
          <w:b w:val="1"/>
          <w:sz w:val="28"/>
        </w:rPr>
        <w:t xml:space="preserve"> РАЗЪЯСНЯЕТ</w:t>
      </w:r>
      <w:r>
        <w:rPr>
          <w:rFonts w:ascii="Times New Roman" w:hAnsi="Times New Roman"/>
          <w:sz w:val="28"/>
        </w:rPr>
        <w:t xml:space="preserve">: </w:t>
      </w:r>
    </w:p>
    <w:p w14:paraId="02000000">
      <w:pPr>
        <w:widowControl w:val="1"/>
        <w:spacing w:after="0" w:line="240" w:lineRule="exact"/>
        <w:ind/>
        <w:jc w:val="both"/>
        <w:outlineLvl w:val="0"/>
        <w:rPr>
          <w:rFonts w:ascii="Times New Roman" w:hAnsi="Times New Roman"/>
          <w:color w:val="A6381D"/>
          <w:sz w:val="28"/>
        </w:rPr>
      </w:pPr>
    </w:p>
    <w:p w14:paraId="03000000">
      <w:pPr>
        <w:widowControl w:val="1"/>
        <w:spacing w:after="0" w:line="240" w:lineRule="exact"/>
        <w:ind/>
        <w:jc w:val="both"/>
        <w:outlineLvl w:val="0"/>
        <w:rPr>
          <w:rFonts w:ascii="Times New Roman" w:hAnsi="Times New Roman"/>
          <w:color w:val="A6381D"/>
          <w:sz w:val="28"/>
        </w:rPr>
      </w:pPr>
      <w:r>
        <w:rPr>
          <w:rFonts w:ascii="Times New Roman" w:hAnsi="Times New Roman"/>
          <w:color w:val="A6381D"/>
          <w:sz w:val="28"/>
        </w:rPr>
        <w:t>Уголовная ответственность за склонение к употреблению наркотических средств, психотропных веществ или их аналогов</w:t>
      </w:r>
    </w:p>
    <w:p w14:paraId="04000000">
      <w:pPr>
        <w:widowControl w:val="1"/>
        <w:spacing w:after="0" w:line="375" w:lineRule="atLeast"/>
        <w:ind/>
        <w:rPr>
          <w:rFonts w:ascii="Tahoma" w:hAnsi="Tahoma"/>
          <w:color w:val="8E8E8E"/>
          <w:sz w:val="23"/>
        </w:rPr>
      </w:pPr>
    </w:p>
    <w:p w14:paraId="05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Объективная сторона данного преступления предусматривает умышленные действия, в том числе однократные, направленные на вовлечение лица в потребление наркотических средств и психотропных веществ. В соответствии с п. 27 постановления Пленума Верховного Суда Российской Федерации от 15.06.2006 № 14 «О судебной практике по делам о преступлениях, связанных с наркотическими средствами, психотропными, сильнодействующими и ядовитыми веществами» склонение может выражаться в любых умышленных действиях, в том числе однократного характера, направленных на возбуждение у другого лица желания потребления наркотических средств (в уговорах, предложениях, даче совета и т.п.), а также в обмане, психическом или физическом насилии, ограничении свободы и других действиях, совершаемых с целью принуждения к потреблению наркотических средств, психотропных веществ или их аналогов лицом, на которое оказывается воздействие.</w:t>
      </w:r>
    </w:p>
    <w:p w14:paraId="06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Преступление считается оконченным с момента совершения действий, направленных на возбуждение у другого лица желания их потребления. Не является преступлением рассказ об ощущениях, наступающих после потребления наркотических средств или психотропных веществ. Ответственность за совершение преступлений по ст. 230 УК РФ наступает по достижении 16 лет.</w:t>
      </w:r>
    </w:p>
    <w:p w14:paraId="07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Склонение к потреблению наркотических средств или психотропных веществ (ч. 1 ст. 230 УК РФ) относится к категории преступлений средней тяжести, наказание за которое предусмотрено в виде ограничения свободы на срок до 3-х лет, либо ареста на срок до 6 месяцев, либо лишение свободы на срок от 3-х до 5 лет.</w:t>
      </w:r>
    </w:p>
    <w:p w14:paraId="08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 xml:space="preserve">Квалифицированные составы данного преступления предусматривают ответственность за склонение к потреблению наркотических средств и </w:t>
      </w:r>
      <w:r>
        <w:rPr>
          <w:rFonts w:ascii="Times New Roman" w:hAnsi="Times New Roman"/>
          <w:color w:val="292929"/>
          <w:sz w:val="28"/>
        </w:rPr>
        <w:t>психотропных веществ, совершенных группой лиц по предварительному сговору или организованной группой; в отношении двух и более лиц; с применением насилия или угрозой его применения, и наказываются лишением свободы на срок от 5 до 10 лет с ограничением свободы на срок до 2-х лет либо без такового (ч. 2 ст. 230 УК РФ).</w:t>
      </w:r>
    </w:p>
    <w:p w14:paraId="09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За те же деяния, если они совершены в отношении несовершеннолетнего либо повлекли по неосторожности смерть потерпевшего или иные тяжкие последствия, под которыми понимается самоубийство или покушение на самоубийство потерпевшего, развитие у него наркотической зависимости, тяжелое заболевание, связанное с потреблением наркотических средств или психотропных веществ, заражение ВИЧ-инфекцией и т.п., предусмотрено наказание в виде лишения свободы на срок до 10 до 15 лет с лишением права занимать определенные должности или заниматься определенной деятельностью на срок до 20 лет или без такового и с ограничением свободы на срок до 2-х лет либо без такового (ч. 3 ст. 230 УК РФ).</w:t>
      </w:r>
    </w:p>
    <w:p w14:paraId="0A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Если вышеуказанные деяния повлекли по неосторожности смерть двух или более потерпевших, предусмотрено наказание в виде лишения свободы на срок от 12 до 15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 (ч. 4 ст. 230 УК РФ).</w:t>
      </w:r>
    </w:p>
    <w:p w14:paraId="0B000000">
      <w:pPr>
        <w:widowControl w:val="1"/>
        <w:spacing w:after="0" w:line="375" w:lineRule="atLeast"/>
        <w:ind/>
        <w:rPr>
          <w:rFonts w:ascii="Tahoma" w:hAnsi="Tahoma"/>
          <w:color w:val="292929"/>
          <w:sz w:val="27"/>
        </w:rPr>
      </w:pPr>
    </w:p>
    <w:p w14:paraId="0C000000">
      <w:pPr>
        <w:widowControl w:val="1"/>
        <w:spacing w:after="0" w:line="375" w:lineRule="atLeast"/>
        <w:ind/>
        <w:rPr>
          <w:rFonts w:ascii="Tahoma" w:hAnsi="Tahoma"/>
          <w:color w:val="292929"/>
          <w:sz w:val="27"/>
        </w:rPr>
      </w:pPr>
      <w:r>
        <w:rPr>
          <w:rFonts w:ascii="Times New Roman" w:hAnsi="Times New Roman"/>
          <w:color w:val="292929"/>
          <w:sz w:val="27"/>
        </w:rPr>
        <w:t xml:space="preserve">Помощник межрайонного прокурора                                   Р.И. Исмаилов </w:t>
      </w:r>
    </w:p>
    <w:p w14:paraId="0D000000">
      <w:bookmarkStart w:id="1" w:name="_GoBack"/>
      <w:bookmarkEnd w:id="1"/>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Default Paragraph Font"/>
    <w:link w:val="Style_14_ch"/>
  </w:style>
  <w:style w:styleId="Style_14_ch" w:type="character">
    <w:name w:val="Default Paragraph Font"/>
    <w:link w:val="Style_14"/>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2026-05-28T07:46:00Z</dcterms:created>
  <dcterms:modified xsi:type="dcterms:W3CDTF">2026-05-28T08:17:37Z</dcterms:modified>
</cp:coreProperties>
</file>